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b/>
          <w:bCs/>
          <w:sz w:val="36"/>
        </w:rPr>
      </w:pPr>
      <w:r>
        <w:rPr>
          <w:rFonts w:hint="eastAsia"/>
          <w:b/>
          <w:bCs/>
          <w:sz w:val="36"/>
        </w:rPr>
        <w:t>拟</w:t>
      </w:r>
      <w:r>
        <w:rPr>
          <w:rFonts w:hint="eastAsia"/>
          <w:b/>
          <w:bCs/>
          <w:sz w:val="36"/>
          <w:lang w:eastAsia="zh-CN"/>
        </w:rPr>
        <w:t>推荐</w:t>
      </w:r>
      <w:bookmarkStart w:id="0" w:name="_GoBack"/>
      <w:bookmarkEnd w:id="0"/>
      <w:r>
        <w:rPr>
          <w:rFonts w:hint="eastAsia"/>
          <w:b/>
          <w:bCs/>
          <w:sz w:val="36"/>
        </w:rPr>
        <w:t>申报2015年度国家奖成果简介</w:t>
      </w:r>
    </w:p>
    <w:tbl>
      <w:tblPr>
        <w:tblStyle w:val="7"/>
        <w:tblW w:w="87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384"/>
        <w:gridCol w:w="7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384" w:type="dxa"/>
            <w:vAlign w:val="center"/>
          </w:tcPr>
          <w:p>
            <w:pPr>
              <w:jc w:val="center"/>
              <w:rPr>
                <w:b/>
                <w:bCs/>
                <w:sz w:val="28"/>
              </w:rPr>
            </w:pPr>
            <w:r>
              <w:rPr>
                <w:rFonts w:hint="eastAsia"/>
                <w:b/>
                <w:bCs/>
                <w:sz w:val="28"/>
              </w:rPr>
              <w:t>成果名称</w:t>
            </w:r>
          </w:p>
        </w:tc>
        <w:tc>
          <w:tcPr>
            <w:tcW w:w="7371" w:type="dxa"/>
            <w:vAlign w:val="center"/>
          </w:tcPr>
          <w:p>
            <w:pPr>
              <w:spacing w:line="400" w:lineRule="exact"/>
              <w:rPr>
                <w:sz w:val="24"/>
              </w:rPr>
            </w:pPr>
            <w:r>
              <w:rPr>
                <w:rFonts w:hint="eastAsia"/>
                <w:sz w:val="28"/>
              </w:rPr>
              <w:t>我国农田土壤有机质演变规律与提升技术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384" w:type="dxa"/>
            <w:vAlign w:val="center"/>
          </w:tcPr>
          <w:p>
            <w:pPr>
              <w:jc w:val="center"/>
              <w:rPr>
                <w:b/>
                <w:bCs/>
                <w:sz w:val="28"/>
              </w:rPr>
            </w:pPr>
            <w:r>
              <w:rPr>
                <w:rFonts w:hint="eastAsia"/>
                <w:b/>
                <w:bCs/>
                <w:sz w:val="28"/>
              </w:rPr>
              <w:t>完成单位</w:t>
            </w:r>
          </w:p>
        </w:tc>
        <w:tc>
          <w:tcPr>
            <w:tcW w:w="7371" w:type="dxa"/>
            <w:vAlign w:val="top"/>
          </w:tcPr>
          <w:p>
            <w:pPr>
              <w:rPr>
                <w:rFonts w:hint="eastAsia"/>
                <w:sz w:val="28"/>
                <w:szCs w:val="28"/>
              </w:rPr>
            </w:pPr>
            <w:r>
              <w:rPr>
                <w:rFonts w:hint="eastAsia"/>
                <w:sz w:val="28"/>
                <w:szCs w:val="28"/>
              </w:rPr>
              <w:t>1、中国农业科学院农业资源与农业区划研究所；</w:t>
            </w:r>
          </w:p>
          <w:p>
            <w:pPr>
              <w:rPr>
                <w:rFonts w:hint="eastAsia"/>
                <w:sz w:val="24"/>
                <w:szCs w:val="24"/>
              </w:rPr>
            </w:pPr>
            <w:r>
              <w:rPr>
                <w:rFonts w:hint="eastAsia"/>
                <w:sz w:val="24"/>
                <w:szCs w:val="24"/>
              </w:rPr>
              <w:t>2、吉林省农业科学院；3、河南省农业科学院；</w:t>
            </w:r>
          </w:p>
          <w:p>
            <w:pPr>
              <w:rPr>
                <w:rFonts w:hint="eastAsia"/>
                <w:sz w:val="24"/>
                <w:szCs w:val="24"/>
              </w:rPr>
            </w:pPr>
            <w:r>
              <w:rPr>
                <w:rFonts w:hint="eastAsia"/>
                <w:sz w:val="24"/>
                <w:szCs w:val="24"/>
              </w:rPr>
              <w:t>4、西北农林科技大学；5、湖南省土壤肥料研究所；</w:t>
            </w:r>
          </w:p>
          <w:p>
            <w:pPr>
              <w:rPr>
                <w:rFonts w:hint="eastAsia"/>
                <w:sz w:val="24"/>
                <w:szCs w:val="24"/>
              </w:rPr>
            </w:pPr>
            <w:r>
              <w:rPr>
                <w:rFonts w:hint="eastAsia"/>
                <w:sz w:val="24"/>
                <w:szCs w:val="24"/>
              </w:rPr>
              <w:t>6、浙江省农业科学院；7、西南大学；</w:t>
            </w:r>
          </w:p>
          <w:p>
            <w:pPr>
              <w:spacing w:line="400" w:lineRule="exact"/>
              <w:rPr>
                <w:sz w:val="24"/>
              </w:rPr>
            </w:pPr>
            <w:r>
              <w:rPr>
                <w:rFonts w:hint="eastAsia"/>
                <w:sz w:val="24"/>
                <w:szCs w:val="24"/>
              </w:rPr>
              <w:t>8、江西省红壤研究所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384" w:type="dxa"/>
            <w:vAlign w:val="center"/>
          </w:tcPr>
          <w:p>
            <w:pPr>
              <w:jc w:val="center"/>
              <w:rPr>
                <w:b/>
                <w:bCs/>
                <w:sz w:val="28"/>
              </w:rPr>
            </w:pPr>
            <w:r>
              <w:rPr>
                <w:rFonts w:hint="eastAsia"/>
                <w:b/>
                <w:bCs/>
                <w:sz w:val="28"/>
              </w:rPr>
              <w:t>完成人</w:t>
            </w:r>
          </w:p>
        </w:tc>
        <w:tc>
          <w:tcPr>
            <w:tcW w:w="7371" w:type="dxa"/>
            <w:vAlign w:val="top"/>
          </w:tcPr>
          <w:p>
            <w:pPr>
              <w:spacing w:line="400" w:lineRule="exact"/>
              <w:rPr>
                <w:rFonts w:hint="eastAsia"/>
                <w:sz w:val="24"/>
                <w:szCs w:val="24"/>
              </w:rPr>
            </w:pPr>
            <w:r>
              <w:rPr>
                <w:rFonts w:hint="eastAsia"/>
                <w:sz w:val="24"/>
                <w:szCs w:val="24"/>
              </w:rPr>
              <w:t>徐明岗，张文菊，黄绍敏，朱平，杨学云，黄庆海，聂  军</w:t>
            </w:r>
          </w:p>
          <w:p>
            <w:pPr>
              <w:spacing w:line="400" w:lineRule="exact"/>
              <w:rPr>
                <w:rFonts w:hint="eastAsia"/>
                <w:sz w:val="24"/>
                <w:szCs w:val="24"/>
              </w:rPr>
            </w:pPr>
            <w:r>
              <w:rPr>
                <w:rFonts w:hint="eastAsia"/>
                <w:sz w:val="24"/>
                <w:szCs w:val="24"/>
              </w:rPr>
              <w:t>石孝均，吴春艳，娄翼来，段英华，孙  楠，卢昌艾，张会民</w:t>
            </w:r>
          </w:p>
          <w:p>
            <w:pPr>
              <w:spacing w:line="400" w:lineRule="exact"/>
              <w:rPr>
                <w:rFonts w:hint="eastAsia"/>
                <w:sz w:val="24"/>
                <w:szCs w:val="24"/>
              </w:rPr>
            </w:pPr>
            <w:r>
              <w:rPr>
                <w:rFonts w:hint="eastAsia"/>
                <w:sz w:val="24"/>
                <w:szCs w:val="24"/>
              </w:rPr>
              <w:t>王佰仁，刘 骅，李忠芳，蔡泽江，周宝库，王 飞，林治安</w:t>
            </w:r>
          </w:p>
          <w:p>
            <w:pPr>
              <w:spacing w:line="400" w:lineRule="exact"/>
              <w:rPr>
                <w:rFonts w:hint="eastAsia"/>
                <w:sz w:val="24"/>
                <w:szCs w:val="24"/>
              </w:rPr>
            </w:pPr>
            <w:r>
              <w:rPr>
                <w:rFonts w:hint="eastAsia"/>
                <w:sz w:val="24"/>
                <w:szCs w:val="24"/>
              </w:rPr>
              <w:t>樊廷录，周怀平，车宗贤，樊红柱，刘益仁，李双来，张爱君</w:t>
            </w:r>
          </w:p>
          <w:p>
            <w:pPr>
              <w:spacing w:line="400" w:lineRule="exact"/>
              <w:rPr>
                <w:sz w:val="24"/>
                <w:szCs w:val="24"/>
              </w:rPr>
            </w:pPr>
            <w:r>
              <w:rPr>
                <w:rFonts w:hint="eastAsia"/>
                <w:sz w:val="24"/>
                <w:szCs w:val="24"/>
              </w:rPr>
              <w:t>仁顺荣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384" w:type="dxa"/>
            <w:vAlign w:val="center"/>
          </w:tcPr>
          <w:p>
            <w:pPr>
              <w:jc w:val="center"/>
              <w:rPr>
                <w:b/>
                <w:bCs/>
                <w:sz w:val="28"/>
              </w:rPr>
            </w:pPr>
            <w:r>
              <w:rPr>
                <w:rFonts w:hint="eastAsia"/>
                <w:b/>
                <w:bCs/>
                <w:sz w:val="28"/>
              </w:rPr>
              <w:t>报奖类别</w:t>
            </w:r>
          </w:p>
        </w:tc>
        <w:tc>
          <w:tcPr>
            <w:tcW w:w="7371" w:type="dxa"/>
            <w:vAlign w:val="center"/>
          </w:tcPr>
          <w:p>
            <w:pPr>
              <w:rPr>
                <w:sz w:val="24"/>
              </w:rPr>
            </w:pPr>
            <w:r>
              <w:rPr>
                <w:rFonts w:hint="eastAsia"/>
                <w:sz w:val="28"/>
              </w:rPr>
              <w:t>科技进步奖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7581" w:hRule="atLeast"/>
        </w:trPr>
        <w:tc>
          <w:tcPr>
            <w:tcW w:w="1384" w:type="dxa"/>
            <w:vAlign w:val="top"/>
          </w:tcPr>
          <w:p>
            <w:pPr>
              <w:jc w:val="center"/>
              <w:rPr>
                <w:b/>
                <w:bCs/>
                <w:sz w:val="28"/>
              </w:rPr>
            </w:pPr>
          </w:p>
          <w:p>
            <w:pPr>
              <w:jc w:val="center"/>
              <w:rPr>
                <w:b/>
                <w:bCs/>
                <w:sz w:val="28"/>
              </w:rPr>
            </w:pPr>
          </w:p>
          <w:p>
            <w:pPr>
              <w:jc w:val="center"/>
              <w:rPr>
                <w:b/>
                <w:bCs/>
                <w:sz w:val="28"/>
              </w:rPr>
            </w:pPr>
          </w:p>
          <w:p>
            <w:pPr>
              <w:jc w:val="center"/>
              <w:rPr>
                <w:b/>
                <w:bCs/>
                <w:sz w:val="28"/>
              </w:rPr>
            </w:pPr>
            <w:r>
              <w:rPr>
                <w:rFonts w:hint="eastAsia"/>
                <w:b/>
                <w:bCs/>
                <w:sz w:val="28"/>
              </w:rPr>
              <w:t>成果简介</w:t>
            </w:r>
          </w:p>
          <w:p>
            <w:pPr>
              <w:snapToGrid w:val="0"/>
              <w:jc w:val="center"/>
              <w:rPr>
                <w:b/>
                <w:bCs/>
                <w:sz w:val="28"/>
              </w:rPr>
            </w:pPr>
            <w:r>
              <w:rPr>
                <w:rFonts w:hint="eastAsia"/>
                <w:sz w:val="28"/>
              </w:rPr>
              <w:t>(主要技术内容、创新点、推广应用情况等，限1000字)</w:t>
            </w:r>
          </w:p>
        </w:tc>
        <w:tc>
          <w:tcPr>
            <w:tcW w:w="7371" w:type="dxa"/>
            <w:vAlign w:val="top"/>
          </w:tcPr>
          <w:p>
            <w:pPr>
              <w:tabs>
                <w:tab w:val="left" w:pos="0"/>
              </w:tabs>
              <w:spacing w:beforeLines="50" w:line="300" w:lineRule="auto"/>
              <w:ind w:firstLine="480" w:firstLineChars="200"/>
              <w:rPr>
                <w:rFonts w:ascii="仿宋_GB2312" w:eastAsia="仿宋_GB2312"/>
                <w:bCs/>
                <w:sz w:val="24"/>
                <w:szCs w:val="24"/>
              </w:rPr>
            </w:pPr>
            <w:r>
              <w:rPr>
                <w:rFonts w:hint="eastAsia" w:ascii="仿宋_GB2312" w:eastAsia="仿宋_GB2312"/>
                <w:bCs/>
                <w:sz w:val="24"/>
                <w:szCs w:val="24"/>
              </w:rPr>
              <w:t>针对我国农田土壤有机质含量低的土壤肥力质量问题，本项目对分布于我国东北、西北、华北、华南和长江流域五大典型区域、长达20年以上的41个农田长期定位试验的土壤有机质及其组分、作物产量等数据进行系统观测和分析，取得了创新性的研究结果。</w:t>
            </w:r>
          </w:p>
          <w:p>
            <w:pPr>
              <w:tabs>
                <w:tab w:val="left" w:pos="0"/>
              </w:tabs>
              <w:spacing w:beforeLines="50" w:line="300" w:lineRule="auto"/>
              <w:ind w:firstLine="482" w:firstLineChars="200"/>
              <w:rPr>
                <w:rFonts w:ascii="仿宋_GB2312" w:eastAsia="仿宋_GB2312"/>
                <w:bCs/>
                <w:sz w:val="24"/>
                <w:szCs w:val="24"/>
              </w:rPr>
            </w:pPr>
            <w:r>
              <w:rPr>
                <w:rFonts w:hint="eastAsia" w:ascii="仿宋_GB2312" w:eastAsia="仿宋_GB2312"/>
                <w:b/>
                <w:bCs/>
                <w:sz w:val="24"/>
                <w:szCs w:val="24"/>
              </w:rPr>
              <w:t>1. 系统阐明了我国农田不同施肥下土壤有机质的时空演变规律及投入有机物料的固存效率。</w:t>
            </w:r>
            <w:r>
              <w:rPr>
                <w:rFonts w:hint="eastAsia" w:ascii="仿宋_GB2312" w:eastAsia="仿宋_GB2312"/>
                <w:bCs/>
                <w:sz w:val="24"/>
                <w:szCs w:val="24"/>
              </w:rPr>
              <w:t>不施肥条件下，大部分农田土壤有机质下降（8-18%），施用氮磷钾化肥后土壤有机质总体上稳中有升，而有机无机肥配施的土壤有机质显著上升（80%以上），秸秆还田配施氮磷钾化肥的土壤有机质提升效果也明显（50%以上）。25年间我国农田土壤对有机物料的固存效率平均为16.3%，呈现为随水热增加而降低的趋势；西北地区平均为25.7%，东北黑土为22.0%，华北地区为13.3%，华南红壤旱地为9.9%，水稻土为10.8%。</w:t>
            </w:r>
          </w:p>
          <w:p>
            <w:pPr>
              <w:tabs>
                <w:tab w:val="left" w:pos="0"/>
              </w:tabs>
              <w:spacing w:beforeLines="50" w:line="300" w:lineRule="auto"/>
              <w:ind w:firstLine="482" w:firstLineChars="200"/>
              <w:rPr>
                <w:rFonts w:ascii="仿宋_GB2312" w:eastAsia="仿宋_GB2312"/>
                <w:bCs/>
                <w:sz w:val="24"/>
                <w:szCs w:val="24"/>
              </w:rPr>
            </w:pPr>
            <w:r>
              <w:rPr>
                <w:rFonts w:hint="eastAsia" w:ascii="仿宋_GB2312" w:eastAsia="仿宋_GB2312"/>
                <w:b/>
                <w:bCs/>
                <w:sz w:val="24"/>
                <w:szCs w:val="24"/>
              </w:rPr>
              <w:t>2、系统探明了我国农田土壤有机质组分对长期施肥的响应特征与区域差异，筛选提出了土壤有机质质量的易氧化有机质和物理未保护有机质等活性有机质指标。</w:t>
            </w:r>
            <w:r>
              <w:rPr>
                <w:rFonts w:hint="eastAsia" w:ascii="仿宋_GB2312" w:eastAsia="仿宋_GB2312"/>
                <w:bCs/>
                <w:sz w:val="24"/>
                <w:szCs w:val="24"/>
              </w:rPr>
              <w:t>我国农田土壤易氧化有机质占总有机质13%～33%；长期有机无机肥料配施能显著提高土壤易氧化有机质的含量和比例。易氧化有机质和物理未保护有机质与土壤养分供应和产量具有较好的相关性，是指示土壤肥力的较好指标。</w:t>
            </w:r>
          </w:p>
          <w:p>
            <w:pPr>
              <w:tabs>
                <w:tab w:val="left" w:pos="0"/>
              </w:tabs>
              <w:spacing w:beforeLines="50" w:line="300" w:lineRule="auto"/>
              <w:ind w:firstLine="482" w:firstLineChars="200"/>
              <w:rPr>
                <w:rFonts w:ascii="仿宋_GB2312" w:eastAsia="仿宋_GB2312"/>
                <w:bCs/>
                <w:sz w:val="24"/>
                <w:szCs w:val="24"/>
              </w:rPr>
            </w:pPr>
            <w:r>
              <w:rPr>
                <w:rFonts w:hint="eastAsia" w:ascii="仿宋_GB2312" w:eastAsia="仿宋_GB2312"/>
                <w:b/>
                <w:bCs/>
                <w:sz w:val="24"/>
                <w:szCs w:val="24"/>
              </w:rPr>
              <w:t>3、深刻揭示了我国不同区域农田土壤有机质提升与产量的协同效应与耦合关系。</w:t>
            </w:r>
            <w:r>
              <w:rPr>
                <w:rFonts w:hint="eastAsia" w:ascii="仿宋_GB2312" w:eastAsia="仿宋_GB2312"/>
                <w:bCs/>
                <w:sz w:val="24"/>
                <w:szCs w:val="24"/>
              </w:rPr>
              <w:t>我国5大区域农田土壤有机质含量与作物产量均呈极显著的正相关，不同区域土壤有机质提升对作物增产的潜力差异较大。现有生产水平下，我国农田土壤有机质含量每提升1gC/kg,北方玉米平均增产988 kg/ha，小麦平均增产957 kg/ha；南方玉米增产596 kg/ha，小麦增产192 kg/ha，水稻增产350 kg/ha。</w:t>
            </w:r>
          </w:p>
          <w:p>
            <w:pPr>
              <w:tabs>
                <w:tab w:val="left" w:pos="0"/>
              </w:tabs>
              <w:spacing w:beforeLines="50" w:line="300" w:lineRule="auto"/>
              <w:ind w:firstLine="482" w:firstLineChars="200"/>
              <w:rPr>
                <w:rFonts w:hint="eastAsia" w:ascii="仿宋_GB2312" w:eastAsia="仿宋_GB2312"/>
                <w:bCs/>
                <w:sz w:val="24"/>
                <w:szCs w:val="24"/>
              </w:rPr>
            </w:pPr>
            <w:r>
              <w:rPr>
                <w:rFonts w:hint="eastAsia" w:ascii="仿宋_GB2312" w:eastAsia="仿宋_GB2312"/>
                <w:b/>
                <w:bCs/>
                <w:sz w:val="24"/>
                <w:szCs w:val="24"/>
              </w:rPr>
              <w:t>4、系统总结提出了我国不同区域农田培肥的有机质适宜值及不同肥力土壤有机质的维持与提升技术。</w:t>
            </w:r>
            <w:r>
              <w:rPr>
                <w:rFonts w:hint="eastAsia" w:ascii="仿宋_GB2312" w:eastAsia="仿宋_GB2312"/>
                <w:bCs/>
                <w:sz w:val="24"/>
                <w:szCs w:val="24"/>
              </w:rPr>
              <w:t>推广应用约1.2亿亩，新增纯收入33.92亿元；显著促进作物增产，经济、社会和生态效益十分显著。</w:t>
            </w:r>
          </w:p>
          <w:p>
            <w:pPr>
              <w:tabs>
                <w:tab w:val="left" w:pos="0"/>
              </w:tabs>
              <w:spacing w:beforeLines="50" w:line="300" w:lineRule="auto"/>
              <w:ind w:firstLine="480" w:firstLineChars="200"/>
              <w:rPr>
                <w:color w:val="FF0000"/>
                <w:sz w:val="22"/>
              </w:rPr>
            </w:pPr>
            <w:r>
              <w:rPr>
                <w:rFonts w:hint="eastAsia" w:ascii="仿宋_GB2312" w:eastAsia="仿宋_GB2312"/>
                <w:bCs/>
                <w:sz w:val="24"/>
                <w:szCs w:val="24"/>
              </w:rPr>
              <w:t>该研究历时20多年，共获得国家专利12项，软件著作权3项；发表学术论文102篇（其中SCI论文23篇），出版专著2部；论文被国内外期刊引用上千次。成果总体上达到同类研究的国际先进水平。成果可在我国广大农区不同类型农田土壤有机质提升、肥力培育等方面广泛应用。</w:t>
            </w:r>
          </w:p>
        </w:tc>
      </w:tr>
    </w:tbl>
    <w:p>
      <w:pPr>
        <w:rPr>
          <w:sz w:val="32"/>
        </w:rPr>
      </w:pPr>
    </w:p>
    <w:sectPr>
      <w:head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仿宋">
    <w:altName w:val="仿宋_GB2312"/>
    <w:panose1 w:val="00000000000000000000"/>
    <w:charset w:val="86"/>
    <w:family w:val="auto"/>
    <w:pitch w:val="default"/>
    <w:sig w:usb0="00000000"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172A27"/>
    <w:rsid w:val="00011FC4"/>
    <w:rsid w:val="00013A01"/>
    <w:rsid w:val="00034381"/>
    <w:rsid w:val="00055DE5"/>
    <w:rsid w:val="00083210"/>
    <w:rsid w:val="00083251"/>
    <w:rsid w:val="000B7814"/>
    <w:rsid w:val="000D422F"/>
    <w:rsid w:val="001007BF"/>
    <w:rsid w:val="00172A27"/>
    <w:rsid w:val="00183FF4"/>
    <w:rsid w:val="001923CF"/>
    <w:rsid w:val="001A77E3"/>
    <w:rsid w:val="001C3597"/>
    <w:rsid w:val="001F7BF2"/>
    <w:rsid w:val="00200BC2"/>
    <w:rsid w:val="00206F4A"/>
    <w:rsid w:val="00225E38"/>
    <w:rsid w:val="00233C95"/>
    <w:rsid w:val="00240481"/>
    <w:rsid w:val="0026371A"/>
    <w:rsid w:val="00287241"/>
    <w:rsid w:val="002A5FFE"/>
    <w:rsid w:val="002A68FB"/>
    <w:rsid w:val="002B4EB0"/>
    <w:rsid w:val="00397410"/>
    <w:rsid w:val="003A3B56"/>
    <w:rsid w:val="003D6604"/>
    <w:rsid w:val="00411816"/>
    <w:rsid w:val="00416A87"/>
    <w:rsid w:val="00434CC4"/>
    <w:rsid w:val="0044717B"/>
    <w:rsid w:val="00472D07"/>
    <w:rsid w:val="004A170A"/>
    <w:rsid w:val="004B4FB7"/>
    <w:rsid w:val="004C2443"/>
    <w:rsid w:val="00514CC7"/>
    <w:rsid w:val="00540175"/>
    <w:rsid w:val="00552497"/>
    <w:rsid w:val="005931EB"/>
    <w:rsid w:val="005B119F"/>
    <w:rsid w:val="005C57E6"/>
    <w:rsid w:val="005F769E"/>
    <w:rsid w:val="0065084D"/>
    <w:rsid w:val="006519A5"/>
    <w:rsid w:val="006A3671"/>
    <w:rsid w:val="006D1047"/>
    <w:rsid w:val="006F7A3A"/>
    <w:rsid w:val="00725B5A"/>
    <w:rsid w:val="00736686"/>
    <w:rsid w:val="007435FB"/>
    <w:rsid w:val="00754230"/>
    <w:rsid w:val="00760D88"/>
    <w:rsid w:val="007E16CA"/>
    <w:rsid w:val="00822F79"/>
    <w:rsid w:val="00831F1B"/>
    <w:rsid w:val="00847361"/>
    <w:rsid w:val="008D6F7F"/>
    <w:rsid w:val="008E3618"/>
    <w:rsid w:val="008F3B9E"/>
    <w:rsid w:val="009115F2"/>
    <w:rsid w:val="0091288E"/>
    <w:rsid w:val="00941DBB"/>
    <w:rsid w:val="00957DD3"/>
    <w:rsid w:val="009776B5"/>
    <w:rsid w:val="00980BE4"/>
    <w:rsid w:val="00992850"/>
    <w:rsid w:val="00997D6D"/>
    <w:rsid w:val="009B0835"/>
    <w:rsid w:val="009C54FC"/>
    <w:rsid w:val="009C75E0"/>
    <w:rsid w:val="009E15E0"/>
    <w:rsid w:val="009E5628"/>
    <w:rsid w:val="00A12AB1"/>
    <w:rsid w:val="00A16719"/>
    <w:rsid w:val="00A940C3"/>
    <w:rsid w:val="00AB7E69"/>
    <w:rsid w:val="00AC564B"/>
    <w:rsid w:val="00AF5DB1"/>
    <w:rsid w:val="00B04113"/>
    <w:rsid w:val="00B127A7"/>
    <w:rsid w:val="00B240B1"/>
    <w:rsid w:val="00B25296"/>
    <w:rsid w:val="00B3641F"/>
    <w:rsid w:val="00B8561F"/>
    <w:rsid w:val="00B964B4"/>
    <w:rsid w:val="00BB1D87"/>
    <w:rsid w:val="00BB6E7B"/>
    <w:rsid w:val="00BD240F"/>
    <w:rsid w:val="00BD43EE"/>
    <w:rsid w:val="00C277F8"/>
    <w:rsid w:val="00C606A7"/>
    <w:rsid w:val="00C95C0A"/>
    <w:rsid w:val="00CE5869"/>
    <w:rsid w:val="00CE75EF"/>
    <w:rsid w:val="00D154F5"/>
    <w:rsid w:val="00D456A4"/>
    <w:rsid w:val="00D45D93"/>
    <w:rsid w:val="00D7743B"/>
    <w:rsid w:val="00D9219B"/>
    <w:rsid w:val="00DC331B"/>
    <w:rsid w:val="00DC48DB"/>
    <w:rsid w:val="00DF318E"/>
    <w:rsid w:val="00E13737"/>
    <w:rsid w:val="00E30837"/>
    <w:rsid w:val="00E32F1B"/>
    <w:rsid w:val="00E33FC7"/>
    <w:rsid w:val="00EB2E89"/>
    <w:rsid w:val="00EC14F9"/>
    <w:rsid w:val="00EE4440"/>
    <w:rsid w:val="00F00AF6"/>
    <w:rsid w:val="00F06B72"/>
    <w:rsid w:val="00F11BA4"/>
    <w:rsid w:val="00F571DA"/>
    <w:rsid w:val="00F73D74"/>
    <w:rsid w:val="00FA2ACF"/>
    <w:rsid w:val="00FB6C8E"/>
    <w:rsid w:val="00FD2DAF"/>
    <w:rsid w:val="06840641"/>
    <w:rsid w:val="0B2E1EE3"/>
    <w:rsid w:val="0CD56D9C"/>
    <w:rsid w:val="1BEE7EDE"/>
    <w:rsid w:val="2BCA23E3"/>
    <w:rsid w:val="30486A45"/>
    <w:rsid w:val="36967F1B"/>
    <w:rsid w:val="42831D2D"/>
    <w:rsid w:val="4E2C69CB"/>
    <w:rsid w:val="5B861ABD"/>
    <w:rsid w:val="61E4532F"/>
    <w:rsid w:val="64E65F95"/>
    <w:rsid w:val="6CDE15A9"/>
    <w:rsid w:val="73A66A49"/>
    <w:rsid w:val="75FB4D1F"/>
    <w:rsid w:val="77162EED"/>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10"/>
    <w:unhideWhenUsed/>
    <w:uiPriority w:val="99"/>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iPriority w:val="0"/>
    <w:rPr>
      <w:color w:val="0000FF"/>
      <w:u w:val="single"/>
    </w:rPr>
  </w:style>
  <w:style w:type="paragraph" w:customStyle="1" w:styleId="8">
    <w:name w:val="Char Char Char Char Char Char Char Char Char Char Char Char Char Char Char Char Char Char Char Char Char Char Char Char Char Char Char Char Char Char Char Char Char"/>
    <w:basedOn w:val="1"/>
    <w:uiPriority w:val="0"/>
    <w:pPr>
      <w:widowControl/>
      <w:spacing w:after="160" w:line="240" w:lineRule="exact"/>
      <w:jc w:val="left"/>
    </w:pPr>
  </w:style>
  <w:style w:type="paragraph" w:customStyle="1" w:styleId="9">
    <w:name w:val="列出段落1"/>
    <w:basedOn w:val="1"/>
    <w:qFormat/>
    <w:uiPriority w:val="34"/>
    <w:pPr>
      <w:widowControl/>
      <w:ind w:firstLine="420" w:firstLineChars="200"/>
      <w:jc w:val="left"/>
    </w:pPr>
    <w:rPr>
      <w:rFonts w:ascii="宋体" w:hAnsi="宋体" w:cs="宋体"/>
      <w:kern w:val="0"/>
      <w:sz w:val="24"/>
      <w:szCs w:val="24"/>
    </w:rPr>
  </w:style>
  <w:style w:type="character" w:customStyle="1" w:styleId="10">
    <w:name w:val="批注框文本 Char"/>
    <w:basedOn w:val="5"/>
    <w:link w:val="2"/>
    <w:semiHidden/>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192</Words>
  <Characters>1095</Characters>
  <Lines>9</Lines>
  <Paragraphs>2</Paragraphs>
  <TotalTime>0</TotalTime>
  <ScaleCrop>false</ScaleCrop>
  <LinksUpToDate>false</LinksUpToDate>
  <CharactersWithSpaces>0</CharactersWithSpaces>
  <Application>WPS Office 个人版_9.1.0.4866_{F1E327BC-269C-435d-A152-05C5408002CA}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2014-11-18T00:13:00Z</dcterms:created>
  <dc:creator>lenovo</dc:creator>
  <cp:lastModifiedBy>Administrator</cp:lastModifiedBy>
  <cp:lastPrinted>2013-09-23T00:35:00Z</cp:lastPrinted>
  <dcterms:modified xsi:type="dcterms:W3CDTF">2014-12-01T08:15:52Z</dcterms:modified>
  <dc:title>为进一步明确重点成果，合理制定全院报奖策略，提前着手进行申报准备，现开展我院拟申报2014年度国家奖成果推荐工作，有关事项通知如下：</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2052-9.1.0.4866</vt:lpwstr>
  </property>
</Properties>
</file>